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rFonts w:ascii="Arial" w:hAnsi="Arial" w:cs="Arial"/>
          <w:b/>
          <w:bCs/>
          <w:sz w:val="28"/>
          <w:szCs w:val="28"/>
        </w:rPr>
        <w:t xml:space="preserve">Bewirtungsbeleg (Eigenbeleg)</w:t>
      </w:r>
    </w:p>
    <w:p>
      <w:r>
        <w:rPr>
          <w:rFonts w:ascii="Arial" w:hAnsi="Arial" w:cs="Arial"/>
          <w:sz w:val="22"/>
          <w:szCs w:val="22"/>
        </w:rPr>
        <w:t xml:space="preserve">Anlage zur Restaurantrechnung — Pflichtangaben gemäß § 4 Abs. 5 Satz 1 Nr. 2 EStG sowie BMF-Schreiben vom 30.06.2021. Dieser Eigenbeleg ergänzt die maschinell erstellte Rechnung des Restaurants um die für den Betriebsausgabenabzug zwingend erforderlichen Angaben.</w:t>
      </w:r>
    </w:p>
    <w:p/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3500"/>
        <w:gridCol w:w="5500"/>
      </w:tblGrid>
      <w:tr>
        <w:trPr>
          <w:tblHeader/>
        </w:trPr>
        <w:tc>
          <w:tcPr>
            <w:tcW w:w="3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Pflichtangabe</w:t>
            </w:r>
          </w:p>
        </w:tc>
        <w:tc>
          <w:tcPr>
            <w:tcW w:w="5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Datum der Bewirtung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[TT.MM.JJJJ]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Ort der Bewirtung (Name + Anschrift Restaurant)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[Restaurantname, Straße, PLZ Ort]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Anlass der Bewirtung (konkret formuliert!)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[z. B. „Projektgespräch zur Software-Migration mit Firma X"]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Teilnehmer (Vor- und Nachname, Funktion)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[Vorname Nachname (Funktion); Vorname Nachname (Funktion); …]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Höhe der Aufwendungen (brutto, inkl. Trinkgeld)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davon Trinkgeld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Rechnungsnummer Restaurant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[Nummer der maschinellen Rechnung]</w:t>
            </w:r>
          </w:p>
        </w:tc>
      </w:tr>
      <w:tr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Bewirtende Person (Steuerpflichtige/r)</w:t>
            </w:r>
          </w:p>
        </w:tc>
        <w:tc>
          <w:tcPr>
            <w:tcW w:w="5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[Vor- und Nachname]</w:t>
            </w:r>
          </w:p>
        </w:tc>
      </w:tr>
    </w:tbl>
    <w:p/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Hinweise zur steuerlichen Behandlung</w:t>
      </w:r>
    </w:p>
    <w:p>
      <w:r>
        <w:rPr>
          <w:rFonts w:ascii="Arial" w:hAnsi="Arial" w:cs="Arial"/>
          <w:sz w:val="22"/>
          <w:szCs w:val="22"/>
        </w:rPr>
        <w:t xml:space="preserve">• Geschäftliche Bewirtung: 70 Prozent der Aufwendungen sind als Betriebsausgabe abzugsfähig (§ 4 Abs. 5 Satz 1 Nr. 2 EStG).</w:t>
      </w:r>
    </w:p>
    <w:p>
      <w:r>
        <w:rPr>
          <w:rFonts w:ascii="Arial" w:hAnsi="Arial" w:cs="Arial"/>
          <w:sz w:val="22"/>
          <w:szCs w:val="22"/>
        </w:rPr>
        <w:t xml:space="preserve">• Vorsteuerabzug (Umsatzsteuer): 100 Prozent abzugsfähig — bei vollständigen Pflichtangaben und ordnungsgemäßer Restaurantrechnung mit USt-Ausweis.</w:t>
      </w:r>
    </w:p>
    <w:p>
      <w:r>
        <w:rPr>
          <w:rFonts w:ascii="Arial" w:hAnsi="Arial" w:cs="Arial"/>
          <w:sz w:val="22"/>
          <w:szCs w:val="22"/>
        </w:rPr>
        <w:t xml:space="preserve">• Bewirtung eigener Mitarbeiter (z. B. Betriebsfeier): 100 Prozent als Betriebsausgabe abzugsfähig; bei Mitarbeiteranteilen über 110 EUR pro Person und Veranstaltung kann Lohnsteuer anfallen.</w:t>
      </w:r>
    </w:p>
    <w:p>
      <w:r>
        <w:rPr>
          <w:rFonts w:ascii="Arial" w:hAnsi="Arial" w:cs="Arial"/>
          <w:sz w:val="22"/>
          <w:szCs w:val="22"/>
        </w:rPr>
        <w:t xml:space="preserve">• Aufbewahrung: Originalrechnung des Restaurants und dieser Eigenbeleg gemeinsam aufbewahren — zehn Jahre nach Ende des Kalenderjahres (§ 147 AO).</w:t>
      </w:r>
    </w:p>
    <w:p>
      <w:r>
        <w:rPr>
          <w:rFonts w:ascii="Arial" w:hAnsi="Arial" w:cs="Arial"/>
          <w:sz w:val="22"/>
          <w:szCs w:val="22"/>
        </w:rPr>
        <w:t xml:space="preserve">• Wichtig: Der Anlass der Bewirtung muss konkret und nachvollziehbar formuliert sein. Allgemeine Bezeichnungen wie „Geschäftsessen" oder „Kundenpflege" werden vom Finanzamt nicht akzeptiert.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[Datum der Erstellung]</w:t>
      </w:r>
    </w:p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 der bewirtenden Person]</w:t>
      </w:r>
    </w:p>
    <w:p/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ersetzt keine Steuerberatung. Die maschinell erstellte Restaurantrechnung ist Pflicht; nur Trinkgeld, Anlass und Teilnehmerangaben dürfen in diesem Eigenbeleg handschriftlich oder digital ergänzt werden.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